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22B5E" w14:textId="77777777" w:rsidR="009A072A" w:rsidRDefault="009A072A" w:rsidP="00786435">
      <w:pPr>
        <w:rPr>
          <w:rFonts w:ascii="Garamond" w:hAnsi="Garamond"/>
          <w:b/>
          <w:bCs/>
        </w:rPr>
      </w:pPr>
    </w:p>
    <w:p w14:paraId="7C7672E3" w14:textId="77777777" w:rsidR="009A072A" w:rsidRPr="00976571" w:rsidRDefault="009A072A" w:rsidP="00786435">
      <w:pPr>
        <w:rPr>
          <w:rFonts w:ascii="Garamond" w:hAnsi="Garamond"/>
          <w:b/>
          <w:bCs/>
        </w:rPr>
      </w:pPr>
      <w:r w:rsidRPr="00976571">
        <w:rPr>
          <w:rFonts w:ascii="Garamond" w:hAnsi="Garamond"/>
          <w:b/>
          <w:bCs/>
        </w:rPr>
        <w:t>Town of Cornwall</w:t>
      </w:r>
    </w:p>
    <w:p w14:paraId="67226214" w14:textId="77777777" w:rsidR="009A072A" w:rsidRDefault="009A072A" w:rsidP="00786435">
      <w:pPr>
        <w:rPr>
          <w:rFonts w:ascii="Garamond" w:hAnsi="Garamond"/>
          <w:b/>
          <w:bCs/>
        </w:rPr>
      </w:pPr>
      <w:r w:rsidRPr="00976571">
        <w:rPr>
          <w:rFonts w:ascii="Garamond" w:hAnsi="Garamond"/>
          <w:b/>
          <w:bCs/>
        </w:rPr>
        <w:t>Planning &amp; Zoning Commission</w:t>
      </w:r>
    </w:p>
    <w:p w14:paraId="5A35F43F" w14:textId="357B92BF" w:rsidR="00786435" w:rsidRDefault="00786435" w:rsidP="00786435">
      <w:pPr>
        <w:rPr>
          <w:rFonts w:ascii="Garamond" w:hAnsi="Garamond"/>
          <w:b/>
          <w:bCs/>
        </w:rPr>
      </w:pPr>
      <w:r>
        <w:rPr>
          <w:rFonts w:ascii="Garamond" w:hAnsi="Garamond"/>
          <w:b/>
          <w:bCs/>
        </w:rPr>
        <w:t>Proposed Text Amendment</w:t>
      </w:r>
      <w:r w:rsidR="00FD3F83">
        <w:rPr>
          <w:rFonts w:ascii="Garamond" w:hAnsi="Garamond"/>
          <w:b/>
          <w:bCs/>
        </w:rPr>
        <w:t>s</w:t>
      </w:r>
      <w:r>
        <w:rPr>
          <w:rFonts w:ascii="Garamond" w:hAnsi="Garamond"/>
          <w:b/>
          <w:bCs/>
        </w:rPr>
        <w:t xml:space="preserve"> regarding Duplexes, Triplexes, Multi-family dwellings</w:t>
      </w:r>
      <w:r w:rsidR="00FD3F83">
        <w:rPr>
          <w:rFonts w:ascii="Garamond" w:hAnsi="Garamond"/>
          <w:b/>
          <w:bCs/>
        </w:rPr>
        <w:t xml:space="preserve">, </w:t>
      </w:r>
    </w:p>
    <w:p w14:paraId="46FAA49B" w14:textId="0C2ED7D2" w:rsidR="00FD3F83" w:rsidRPr="00FD3F83" w:rsidRDefault="00FD3F83" w:rsidP="00786435">
      <w:pPr>
        <w:rPr>
          <w:rFonts w:ascii="Garamond" w:hAnsi="Garamond"/>
          <w:b/>
          <w:bCs/>
          <w:u w:val="single"/>
        </w:rPr>
      </w:pPr>
      <w:r>
        <w:rPr>
          <w:rFonts w:ascii="Garamond" w:hAnsi="Garamond"/>
          <w:b/>
          <w:bCs/>
        </w:rPr>
        <w:tab/>
      </w:r>
      <w:r w:rsidRPr="00FD3F83">
        <w:rPr>
          <w:rFonts w:ascii="Garamond" w:hAnsi="Garamond"/>
          <w:b/>
          <w:bCs/>
          <w:u w:val="single"/>
        </w:rPr>
        <w:t>and restaurant uses in the General Business Zone</w:t>
      </w:r>
    </w:p>
    <w:p w14:paraId="1540F2D6" w14:textId="77777777" w:rsidR="00D503C8" w:rsidRPr="00D503C8" w:rsidRDefault="00786435" w:rsidP="00786435">
      <w:pPr>
        <w:rPr>
          <w:rFonts w:ascii="Garamond" w:hAnsi="Garamond"/>
          <w:i/>
          <w:iCs/>
        </w:rPr>
      </w:pPr>
      <w:r w:rsidRPr="00D503C8">
        <w:rPr>
          <w:rFonts w:ascii="Garamond" w:hAnsi="Garamond"/>
          <w:i/>
          <w:iCs/>
        </w:rPr>
        <w:t>prepared for April 9</w:t>
      </w:r>
      <w:r w:rsidRPr="00D503C8">
        <w:rPr>
          <w:rFonts w:ascii="Garamond" w:hAnsi="Garamond"/>
          <w:i/>
          <w:iCs/>
          <w:vertAlign w:val="superscript"/>
        </w:rPr>
        <w:t>th</w:t>
      </w:r>
      <w:r w:rsidRPr="00D503C8">
        <w:rPr>
          <w:rFonts w:ascii="Garamond" w:hAnsi="Garamond"/>
          <w:i/>
          <w:iCs/>
        </w:rPr>
        <w:t>, 2024</w:t>
      </w:r>
      <w:r w:rsidR="00D503C8" w:rsidRPr="00D503C8">
        <w:rPr>
          <w:rFonts w:ascii="Garamond" w:hAnsi="Garamond"/>
          <w:i/>
          <w:iCs/>
        </w:rPr>
        <w:t>, updated for</w:t>
      </w:r>
      <w:r w:rsidRPr="00D503C8">
        <w:rPr>
          <w:rFonts w:ascii="Garamond" w:hAnsi="Garamond"/>
          <w:i/>
          <w:iCs/>
        </w:rPr>
        <w:t xml:space="preserve"> February 13</w:t>
      </w:r>
      <w:r w:rsidRPr="00D503C8">
        <w:rPr>
          <w:rFonts w:ascii="Garamond" w:hAnsi="Garamond"/>
          <w:i/>
          <w:iCs/>
          <w:vertAlign w:val="superscript"/>
        </w:rPr>
        <w:t>th</w:t>
      </w:r>
      <w:r w:rsidR="00D503C8" w:rsidRPr="00D503C8">
        <w:rPr>
          <w:rFonts w:ascii="Garamond" w:hAnsi="Garamond"/>
          <w:i/>
          <w:iCs/>
        </w:rPr>
        <w:t xml:space="preserve">, </w:t>
      </w:r>
      <w:r w:rsidRPr="00D503C8">
        <w:rPr>
          <w:rFonts w:ascii="Garamond" w:hAnsi="Garamond"/>
          <w:i/>
          <w:iCs/>
        </w:rPr>
        <w:t>March 12</w:t>
      </w:r>
      <w:r w:rsidRPr="00D503C8">
        <w:rPr>
          <w:rFonts w:ascii="Garamond" w:hAnsi="Garamond"/>
          <w:i/>
          <w:iCs/>
          <w:vertAlign w:val="superscript"/>
        </w:rPr>
        <w:t>th</w:t>
      </w:r>
      <w:r w:rsidR="00D503C8" w:rsidRPr="00D503C8">
        <w:rPr>
          <w:rFonts w:ascii="Garamond" w:hAnsi="Garamond"/>
          <w:i/>
          <w:iCs/>
        </w:rPr>
        <w:t xml:space="preserve">, and April </w:t>
      </w:r>
      <w:proofErr w:type="gramStart"/>
      <w:r w:rsidR="00D503C8" w:rsidRPr="00D503C8">
        <w:rPr>
          <w:rFonts w:ascii="Garamond" w:hAnsi="Garamond"/>
          <w:i/>
          <w:iCs/>
        </w:rPr>
        <w:t>9</w:t>
      </w:r>
      <w:r w:rsidR="00D503C8" w:rsidRPr="00D503C8">
        <w:rPr>
          <w:rFonts w:ascii="Garamond" w:hAnsi="Garamond"/>
          <w:i/>
          <w:iCs/>
          <w:vertAlign w:val="superscript"/>
        </w:rPr>
        <w:t>th</w:t>
      </w:r>
      <w:proofErr w:type="gramEnd"/>
    </w:p>
    <w:p w14:paraId="6AB6EBFC" w14:textId="00C15E07" w:rsidR="00786435" w:rsidRPr="00D503C8" w:rsidRDefault="00D503C8" w:rsidP="00786435">
      <w:pPr>
        <w:rPr>
          <w:rFonts w:ascii="Garamond" w:hAnsi="Garamond"/>
          <w:b/>
          <w:bCs/>
        </w:rPr>
      </w:pPr>
      <w:r>
        <w:rPr>
          <w:rFonts w:ascii="Garamond" w:hAnsi="Garamond"/>
          <w:b/>
          <w:bCs/>
        </w:rPr>
        <w:t>Finalized public</w:t>
      </w:r>
      <w:r w:rsidRPr="00D503C8">
        <w:rPr>
          <w:rFonts w:ascii="Garamond" w:hAnsi="Garamond"/>
          <w:b/>
          <w:bCs/>
        </w:rPr>
        <w:t xml:space="preserve"> hearing set for June 11</w:t>
      </w:r>
      <w:r w:rsidRPr="00D503C8">
        <w:rPr>
          <w:rFonts w:ascii="Garamond" w:hAnsi="Garamond"/>
          <w:b/>
          <w:bCs/>
          <w:vertAlign w:val="superscript"/>
        </w:rPr>
        <w:t>th</w:t>
      </w:r>
      <w:r w:rsidRPr="00D503C8">
        <w:rPr>
          <w:rFonts w:ascii="Garamond" w:hAnsi="Garamond"/>
          <w:b/>
          <w:bCs/>
        </w:rPr>
        <w:t xml:space="preserve">, </w:t>
      </w:r>
      <w:proofErr w:type="gramStart"/>
      <w:r w:rsidRPr="00D503C8">
        <w:rPr>
          <w:rFonts w:ascii="Garamond" w:hAnsi="Garamond"/>
          <w:b/>
          <w:bCs/>
        </w:rPr>
        <w:t>2024</w:t>
      </w:r>
      <w:proofErr w:type="gramEnd"/>
    </w:p>
    <w:p w14:paraId="49EBAEF4" w14:textId="77777777" w:rsidR="009A072A" w:rsidRDefault="009A072A" w:rsidP="009A072A"/>
    <w:p w14:paraId="38E45D32" w14:textId="6F5DCB8F" w:rsidR="00786435" w:rsidRPr="00786435" w:rsidRDefault="00786435" w:rsidP="009A072A">
      <w:pPr>
        <w:rPr>
          <w:rFonts w:ascii="Garamond" w:hAnsi="Garamond"/>
          <w:b/>
          <w:bCs/>
        </w:rPr>
      </w:pPr>
      <w:r w:rsidRPr="00786435">
        <w:rPr>
          <w:rFonts w:ascii="Garamond" w:hAnsi="Garamond"/>
          <w:b/>
          <w:bCs/>
        </w:rPr>
        <w:t xml:space="preserve">Article </w:t>
      </w:r>
      <w:r w:rsidR="000D54C1">
        <w:rPr>
          <w:rFonts w:ascii="Garamond" w:hAnsi="Garamond"/>
          <w:b/>
          <w:bCs/>
        </w:rPr>
        <w:t>3- Definitions</w:t>
      </w:r>
    </w:p>
    <w:p w14:paraId="55B81C21" w14:textId="543F625C" w:rsidR="00786435" w:rsidRDefault="00786435" w:rsidP="009A072A">
      <w:pPr>
        <w:rPr>
          <w:rFonts w:ascii="Garamond" w:hAnsi="Garamond"/>
        </w:rPr>
      </w:pPr>
      <w:r w:rsidRPr="000D54C1">
        <w:rPr>
          <w:rFonts w:ascii="Garamond" w:hAnsi="Garamond"/>
          <w:u w:val="single"/>
        </w:rPr>
        <w:t>Add</w:t>
      </w:r>
      <w:r>
        <w:rPr>
          <w:rFonts w:ascii="Garamond" w:hAnsi="Garamond"/>
        </w:rPr>
        <w:t xml:space="preserve"> the following definitions:</w:t>
      </w:r>
    </w:p>
    <w:p w14:paraId="79DFC4CE" w14:textId="77777777" w:rsidR="00786435" w:rsidRDefault="00786435" w:rsidP="009A072A">
      <w:pPr>
        <w:rPr>
          <w:rFonts w:ascii="Garamond" w:hAnsi="Garamond"/>
        </w:rPr>
      </w:pPr>
    </w:p>
    <w:p w14:paraId="1EDEC88D" w14:textId="595FEBE1" w:rsidR="00786435" w:rsidRPr="00FD3F83" w:rsidRDefault="00786435" w:rsidP="009A072A">
      <w:pPr>
        <w:rPr>
          <w:rFonts w:ascii="Garamond" w:hAnsi="Garamond"/>
          <w:u w:val="single"/>
        </w:rPr>
      </w:pPr>
      <w:r w:rsidRPr="000D54C1">
        <w:rPr>
          <w:rFonts w:ascii="Garamond" w:hAnsi="Garamond"/>
          <w:b/>
          <w:bCs/>
        </w:rPr>
        <w:t>Duplex</w:t>
      </w:r>
      <w:r>
        <w:rPr>
          <w:rFonts w:ascii="Garamond" w:hAnsi="Garamond"/>
        </w:rPr>
        <w:t xml:space="preserve"> – a structure that contains two (2) dwellin</w:t>
      </w:r>
      <w:r w:rsidR="00FD3F83">
        <w:rPr>
          <w:rFonts w:ascii="Garamond" w:hAnsi="Garamond"/>
        </w:rPr>
        <w:t xml:space="preserve">g </w:t>
      </w:r>
      <w:proofErr w:type="gramStart"/>
      <w:r w:rsidR="00FD3F83" w:rsidRPr="00FD3F83">
        <w:rPr>
          <w:rFonts w:ascii="Garamond" w:hAnsi="Garamond"/>
          <w:u w:val="single"/>
        </w:rPr>
        <w:t>units</w:t>
      </w:r>
      <w:proofErr w:type="gramEnd"/>
    </w:p>
    <w:p w14:paraId="31A2BC83" w14:textId="77777777" w:rsidR="00786435" w:rsidRDefault="00786435" w:rsidP="009A072A">
      <w:pPr>
        <w:rPr>
          <w:rFonts w:ascii="Garamond" w:hAnsi="Garamond"/>
        </w:rPr>
      </w:pPr>
    </w:p>
    <w:p w14:paraId="29339ED8" w14:textId="525F3D8E" w:rsidR="00786435" w:rsidRDefault="00786435" w:rsidP="009A072A">
      <w:pPr>
        <w:rPr>
          <w:rFonts w:ascii="Garamond" w:hAnsi="Garamond"/>
        </w:rPr>
      </w:pPr>
      <w:r w:rsidRPr="000D54C1">
        <w:rPr>
          <w:rFonts w:ascii="Garamond" w:hAnsi="Garamond"/>
          <w:b/>
          <w:bCs/>
        </w:rPr>
        <w:t>Triplex</w:t>
      </w:r>
      <w:r>
        <w:rPr>
          <w:rFonts w:ascii="Garamond" w:hAnsi="Garamond"/>
        </w:rPr>
        <w:t xml:space="preserve"> – a structure that contains three (3) dwelling</w:t>
      </w:r>
      <w:r w:rsidR="00FD3F83">
        <w:rPr>
          <w:rFonts w:ascii="Garamond" w:hAnsi="Garamond"/>
        </w:rPr>
        <w:t xml:space="preserve"> </w:t>
      </w:r>
      <w:proofErr w:type="gramStart"/>
      <w:r w:rsidR="00FD3F83" w:rsidRPr="00FD3F83">
        <w:rPr>
          <w:rFonts w:ascii="Garamond" w:hAnsi="Garamond"/>
          <w:u w:val="single"/>
        </w:rPr>
        <w:t>units</w:t>
      </w:r>
      <w:proofErr w:type="gramEnd"/>
    </w:p>
    <w:p w14:paraId="1F196846" w14:textId="77777777" w:rsidR="00786435" w:rsidRDefault="00786435" w:rsidP="009A072A">
      <w:pPr>
        <w:rPr>
          <w:rFonts w:ascii="Garamond" w:hAnsi="Garamond"/>
        </w:rPr>
      </w:pPr>
    </w:p>
    <w:p w14:paraId="2D4AB658" w14:textId="3CB27B83" w:rsidR="00786435" w:rsidRDefault="000D54C1" w:rsidP="009A072A">
      <w:pPr>
        <w:rPr>
          <w:rFonts w:ascii="Garamond" w:hAnsi="Garamond"/>
        </w:rPr>
      </w:pPr>
      <w:r w:rsidRPr="000D54C1">
        <w:rPr>
          <w:rFonts w:ascii="Garamond" w:hAnsi="Garamond"/>
          <w:u w:val="single"/>
        </w:rPr>
        <w:t>Change</w:t>
      </w:r>
      <w:r>
        <w:rPr>
          <w:rFonts w:ascii="Garamond" w:hAnsi="Garamond"/>
        </w:rPr>
        <w:t xml:space="preserve"> the following definition:</w:t>
      </w:r>
    </w:p>
    <w:p w14:paraId="31B92EBA" w14:textId="77777777" w:rsidR="000D54C1" w:rsidRDefault="000D54C1" w:rsidP="009A072A">
      <w:pPr>
        <w:rPr>
          <w:rFonts w:ascii="Garamond" w:hAnsi="Garamond"/>
        </w:rPr>
      </w:pPr>
    </w:p>
    <w:p w14:paraId="1388B10F" w14:textId="1697D31E" w:rsidR="000D54C1" w:rsidRDefault="000D54C1" w:rsidP="009A072A">
      <w:pPr>
        <w:rPr>
          <w:rFonts w:ascii="Garamond" w:hAnsi="Garamond"/>
        </w:rPr>
      </w:pPr>
      <w:r w:rsidRPr="000D54C1">
        <w:rPr>
          <w:rFonts w:ascii="Garamond" w:hAnsi="Garamond"/>
          <w:b/>
          <w:bCs/>
        </w:rPr>
        <w:t xml:space="preserve">Multi-family </w:t>
      </w:r>
      <w:r w:rsidR="00FD3F83" w:rsidRPr="00FD3F83">
        <w:rPr>
          <w:rFonts w:ascii="Garamond" w:hAnsi="Garamond"/>
          <w:b/>
          <w:bCs/>
          <w:u w:val="single"/>
        </w:rPr>
        <w:t>housing</w:t>
      </w:r>
      <w:r>
        <w:rPr>
          <w:rFonts w:ascii="Garamond" w:hAnsi="Garamond"/>
        </w:rPr>
        <w:t xml:space="preserve"> – development on a single lot that contains three (3) or more dwelling units.  </w:t>
      </w:r>
    </w:p>
    <w:p w14:paraId="40DF75CC" w14:textId="77777777" w:rsidR="000D54C1" w:rsidRDefault="000D54C1" w:rsidP="009A072A">
      <w:pPr>
        <w:rPr>
          <w:rFonts w:ascii="Garamond" w:hAnsi="Garamond"/>
        </w:rPr>
      </w:pPr>
    </w:p>
    <w:p w14:paraId="1E4887FD" w14:textId="2447DE8F" w:rsidR="000D54C1" w:rsidRDefault="000D54C1" w:rsidP="009A072A">
      <w:pPr>
        <w:rPr>
          <w:rFonts w:ascii="Garamond" w:hAnsi="Garamond"/>
          <w:b/>
          <w:bCs/>
        </w:rPr>
      </w:pPr>
      <w:r w:rsidRPr="00786435">
        <w:rPr>
          <w:rFonts w:ascii="Garamond" w:hAnsi="Garamond"/>
          <w:b/>
          <w:bCs/>
        </w:rPr>
        <w:t xml:space="preserve">Article </w:t>
      </w:r>
      <w:r>
        <w:rPr>
          <w:rFonts w:ascii="Garamond" w:hAnsi="Garamond"/>
          <w:b/>
          <w:bCs/>
        </w:rPr>
        <w:t xml:space="preserve">4- Permitted Uses </w:t>
      </w:r>
    </w:p>
    <w:p w14:paraId="36AADC07" w14:textId="67CB9423" w:rsidR="000D54C1" w:rsidRDefault="00FD3F83" w:rsidP="009A072A">
      <w:pPr>
        <w:rPr>
          <w:rFonts w:ascii="Garamond" w:hAnsi="Garamond"/>
          <w:b/>
          <w:bCs/>
        </w:rPr>
      </w:pPr>
      <w:r>
        <w:rPr>
          <w:rFonts w:ascii="Garamond" w:hAnsi="Garamond"/>
          <w:b/>
          <w:bCs/>
        </w:rPr>
        <w:t xml:space="preserve">4.3 </w:t>
      </w:r>
      <w:r w:rsidR="000D54C1">
        <w:rPr>
          <w:rFonts w:ascii="Garamond" w:hAnsi="Garamond"/>
          <w:b/>
          <w:bCs/>
        </w:rPr>
        <w:t>Special Uses Permitted in Any Residential Zone</w:t>
      </w:r>
    </w:p>
    <w:p w14:paraId="3E394ABC" w14:textId="7A323C69" w:rsidR="000D54C1" w:rsidRPr="000D54C1" w:rsidRDefault="000D54C1" w:rsidP="009A072A">
      <w:pPr>
        <w:rPr>
          <w:rFonts w:ascii="Garamond" w:hAnsi="Garamond"/>
        </w:rPr>
      </w:pPr>
      <w:r w:rsidRPr="000D54C1">
        <w:rPr>
          <w:rFonts w:ascii="Garamond" w:hAnsi="Garamond"/>
          <w:u w:val="single"/>
        </w:rPr>
        <w:t>Change</w:t>
      </w:r>
      <w:r w:rsidRPr="000D54C1">
        <w:rPr>
          <w:rFonts w:ascii="Garamond" w:hAnsi="Garamond"/>
        </w:rPr>
        <w:t xml:space="preserve"> to:</w:t>
      </w:r>
    </w:p>
    <w:p w14:paraId="37E876D0" w14:textId="6D12D00D" w:rsidR="000D54C1" w:rsidRDefault="000D54C1" w:rsidP="009A072A">
      <w:pPr>
        <w:rPr>
          <w:rFonts w:ascii="Garamond" w:hAnsi="Garamond"/>
        </w:rPr>
      </w:pPr>
      <w:r w:rsidRPr="000D54C1">
        <w:rPr>
          <w:rFonts w:ascii="Garamond" w:hAnsi="Garamond"/>
        </w:rPr>
        <w:t xml:space="preserve">m. </w:t>
      </w:r>
      <w:proofErr w:type="gramStart"/>
      <w:r w:rsidRPr="000D54C1">
        <w:rPr>
          <w:rFonts w:ascii="Garamond" w:hAnsi="Garamond"/>
        </w:rPr>
        <w:t>Multi-family</w:t>
      </w:r>
      <w:proofErr w:type="gramEnd"/>
      <w:r w:rsidRPr="000D54C1">
        <w:rPr>
          <w:rFonts w:ascii="Garamond" w:hAnsi="Garamond"/>
        </w:rPr>
        <w:t xml:space="preserve"> housing </w:t>
      </w:r>
      <w:r w:rsidR="00FD3F83">
        <w:rPr>
          <w:rFonts w:ascii="Garamond" w:hAnsi="Garamond"/>
        </w:rPr>
        <w:t>(</w:t>
      </w:r>
      <w:r w:rsidR="00FD3F83" w:rsidRPr="00FD3F83">
        <w:rPr>
          <w:rFonts w:ascii="Garamond" w:hAnsi="Garamond"/>
          <w:b/>
          <w:bCs/>
          <w:u w:val="single"/>
        </w:rPr>
        <w:t>See Section 10.13</w:t>
      </w:r>
      <w:r w:rsidR="00FD3F83">
        <w:rPr>
          <w:rFonts w:ascii="Garamond" w:hAnsi="Garamond"/>
        </w:rPr>
        <w:t>)</w:t>
      </w:r>
    </w:p>
    <w:p w14:paraId="00FF34D0" w14:textId="77777777" w:rsidR="000D54C1" w:rsidRDefault="000D54C1" w:rsidP="009A072A">
      <w:pPr>
        <w:rPr>
          <w:rFonts w:ascii="Garamond" w:hAnsi="Garamond"/>
        </w:rPr>
      </w:pPr>
    </w:p>
    <w:p w14:paraId="7904BD83" w14:textId="02122744" w:rsidR="000D54C1" w:rsidRDefault="000D54C1" w:rsidP="009A072A">
      <w:pPr>
        <w:rPr>
          <w:rFonts w:ascii="Garamond" w:hAnsi="Garamond"/>
        </w:rPr>
      </w:pPr>
      <w:r w:rsidRPr="000D54C1">
        <w:rPr>
          <w:rFonts w:ascii="Garamond" w:hAnsi="Garamond"/>
          <w:u w:val="single"/>
        </w:rPr>
        <w:t>Add</w:t>
      </w:r>
      <w:r>
        <w:rPr>
          <w:rFonts w:ascii="Garamond" w:hAnsi="Garamond"/>
        </w:rPr>
        <w:t>:</w:t>
      </w:r>
    </w:p>
    <w:p w14:paraId="76A75C22" w14:textId="7733BFEF" w:rsidR="000D54C1" w:rsidRDefault="000D54C1" w:rsidP="009A072A">
      <w:pPr>
        <w:rPr>
          <w:rFonts w:ascii="Garamond" w:hAnsi="Garamond"/>
        </w:rPr>
      </w:pPr>
      <w:r>
        <w:rPr>
          <w:rFonts w:ascii="Garamond" w:hAnsi="Garamond"/>
        </w:rPr>
        <w:t>o. Duplexes</w:t>
      </w:r>
    </w:p>
    <w:p w14:paraId="07570396" w14:textId="6074AE37" w:rsidR="000D54C1" w:rsidRDefault="000D54C1" w:rsidP="009A072A">
      <w:pPr>
        <w:rPr>
          <w:rFonts w:ascii="Garamond" w:hAnsi="Garamond"/>
        </w:rPr>
      </w:pPr>
      <w:r>
        <w:rPr>
          <w:rFonts w:ascii="Garamond" w:hAnsi="Garamond"/>
        </w:rPr>
        <w:t xml:space="preserve">p. Triplexes </w:t>
      </w:r>
    </w:p>
    <w:p w14:paraId="7BFF0A53" w14:textId="77777777" w:rsidR="00FD3F83" w:rsidRDefault="00FD3F83" w:rsidP="009A072A">
      <w:pPr>
        <w:rPr>
          <w:rFonts w:ascii="Garamond" w:hAnsi="Garamond"/>
        </w:rPr>
      </w:pPr>
    </w:p>
    <w:p w14:paraId="556B00E0" w14:textId="127B7709" w:rsidR="00FD3F83" w:rsidRDefault="00FD3F83" w:rsidP="009A072A">
      <w:pPr>
        <w:rPr>
          <w:rFonts w:ascii="Garamond" w:hAnsi="Garamond"/>
          <w:b/>
          <w:bCs/>
          <w:u w:val="single"/>
        </w:rPr>
      </w:pPr>
      <w:r w:rsidRPr="001C26AD">
        <w:rPr>
          <w:rFonts w:ascii="Garamond" w:hAnsi="Garamond"/>
          <w:b/>
          <w:bCs/>
          <w:u w:val="single"/>
        </w:rPr>
        <w:t>4.7 GB General Business Zone</w:t>
      </w:r>
    </w:p>
    <w:p w14:paraId="09F8C79A" w14:textId="7D0D0C7C" w:rsidR="001C26AD" w:rsidRPr="001C26AD" w:rsidRDefault="001C26AD" w:rsidP="009A072A">
      <w:pPr>
        <w:rPr>
          <w:rFonts w:ascii="Garamond" w:hAnsi="Garamond"/>
          <w:u w:val="single"/>
        </w:rPr>
      </w:pPr>
      <w:r w:rsidRPr="001C26AD">
        <w:rPr>
          <w:rFonts w:ascii="Garamond" w:hAnsi="Garamond"/>
          <w:u w:val="single"/>
        </w:rPr>
        <w:t>b. Site plan uses permitted in the GB Zone</w:t>
      </w:r>
    </w:p>
    <w:p w14:paraId="79D9C4E8" w14:textId="0E1D0295" w:rsidR="001C26AD" w:rsidRDefault="001C26AD" w:rsidP="009A072A">
      <w:pPr>
        <w:rPr>
          <w:rFonts w:ascii="Garamond" w:hAnsi="Garamond"/>
          <w:u w:val="single"/>
        </w:rPr>
      </w:pPr>
      <w:r w:rsidRPr="001C26AD">
        <w:rPr>
          <w:rFonts w:ascii="Garamond" w:hAnsi="Garamond"/>
          <w:u w:val="single"/>
        </w:rPr>
        <w:t>Add: 5. Restaurants</w:t>
      </w:r>
    </w:p>
    <w:p w14:paraId="6C8861D2" w14:textId="3725DF20" w:rsidR="001C26AD" w:rsidRPr="001C26AD" w:rsidRDefault="001C26AD" w:rsidP="009A072A">
      <w:pPr>
        <w:rPr>
          <w:rFonts w:ascii="Garamond" w:hAnsi="Garamond"/>
          <w:u w:val="single"/>
        </w:rPr>
      </w:pPr>
      <w:r>
        <w:rPr>
          <w:rFonts w:ascii="Garamond" w:hAnsi="Garamond"/>
          <w:u w:val="single"/>
        </w:rPr>
        <w:t>Remove “restaurants” from C.2 (Special Permit Uses)</w:t>
      </w:r>
    </w:p>
    <w:p w14:paraId="641F88DF" w14:textId="77777777" w:rsidR="00A76DE5" w:rsidRDefault="00A76DE5" w:rsidP="009A072A">
      <w:pPr>
        <w:rPr>
          <w:rFonts w:ascii="Garamond" w:hAnsi="Garamond"/>
        </w:rPr>
      </w:pPr>
    </w:p>
    <w:p w14:paraId="00CDFBF3" w14:textId="2D8F0E2C" w:rsidR="000D54C1" w:rsidRDefault="00A76DE5" w:rsidP="009A072A">
      <w:pPr>
        <w:rPr>
          <w:rFonts w:ascii="Garamond" w:hAnsi="Garamond"/>
        </w:rPr>
      </w:pPr>
      <w:r>
        <w:rPr>
          <w:rFonts w:ascii="Garamond" w:hAnsi="Garamond"/>
        </w:rPr>
        <w:t xml:space="preserve">“Duplexes” and “Triplexes” shall also be added to the </w:t>
      </w:r>
      <w:r w:rsidRPr="00A76DE5">
        <w:rPr>
          <w:rFonts w:ascii="Garamond" w:hAnsi="Garamond"/>
          <w:b/>
          <w:bCs/>
        </w:rPr>
        <w:t>Permitted Use Table</w:t>
      </w:r>
      <w:r>
        <w:rPr>
          <w:rFonts w:ascii="Garamond" w:hAnsi="Garamond"/>
        </w:rPr>
        <w:t xml:space="preserve"> and marked with “SP” under R-1, R-3, R-5, and GB.  </w:t>
      </w:r>
    </w:p>
    <w:p w14:paraId="32423075" w14:textId="77777777" w:rsidR="001C26AD" w:rsidRDefault="001C26AD" w:rsidP="009A072A">
      <w:pPr>
        <w:rPr>
          <w:rFonts w:ascii="Garamond" w:hAnsi="Garamond"/>
        </w:rPr>
      </w:pPr>
    </w:p>
    <w:p w14:paraId="16EFBB7E" w14:textId="0F72B885" w:rsidR="001C26AD" w:rsidRPr="001C26AD" w:rsidRDefault="001C26AD" w:rsidP="009A072A">
      <w:pPr>
        <w:rPr>
          <w:rFonts w:ascii="Garamond" w:hAnsi="Garamond"/>
          <w:u w:val="single"/>
        </w:rPr>
      </w:pPr>
      <w:r w:rsidRPr="001C26AD">
        <w:rPr>
          <w:rFonts w:ascii="Garamond" w:hAnsi="Garamond"/>
          <w:u w:val="single"/>
        </w:rPr>
        <w:t>“Hotel, Motels, &amp; Restaurants” shall be separated in the Permitted Use Table so that “</w:t>
      </w:r>
      <w:r>
        <w:rPr>
          <w:rFonts w:ascii="Garamond" w:hAnsi="Garamond"/>
          <w:u w:val="single"/>
        </w:rPr>
        <w:t>R</w:t>
      </w:r>
      <w:r w:rsidRPr="001C26AD">
        <w:rPr>
          <w:rFonts w:ascii="Garamond" w:hAnsi="Garamond"/>
          <w:u w:val="single"/>
        </w:rPr>
        <w:t xml:space="preserve">estaurants” is on its own and marked with S for “Site Plan”.  </w:t>
      </w:r>
    </w:p>
    <w:p w14:paraId="71FD1D8F" w14:textId="77777777" w:rsidR="00A76DE5" w:rsidRDefault="00A76DE5" w:rsidP="009A072A">
      <w:pPr>
        <w:rPr>
          <w:rFonts w:ascii="Garamond" w:hAnsi="Garamond"/>
        </w:rPr>
      </w:pPr>
    </w:p>
    <w:p w14:paraId="104D501D" w14:textId="698C2A47" w:rsidR="00A76DE5" w:rsidRDefault="00A76DE5" w:rsidP="009A072A">
      <w:pPr>
        <w:rPr>
          <w:rFonts w:ascii="Garamond" w:hAnsi="Garamond"/>
        </w:rPr>
      </w:pPr>
      <w:r w:rsidRPr="00A76DE5">
        <w:rPr>
          <w:rFonts w:ascii="Garamond" w:hAnsi="Garamond"/>
          <w:u w:val="single"/>
        </w:rPr>
        <w:t>Remove</w:t>
      </w:r>
      <w:r>
        <w:rPr>
          <w:rFonts w:ascii="Garamond" w:hAnsi="Garamond"/>
        </w:rPr>
        <w:t xml:space="preserve"> 10.1 g. “Conversion of an Existing- Single Family </w:t>
      </w:r>
      <w:r w:rsidR="00FF782C">
        <w:rPr>
          <w:rFonts w:ascii="Garamond" w:hAnsi="Garamond"/>
        </w:rPr>
        <w:t>Dwelling” (</w:t>
      </w:r>
      <w:r w:rsidRPr="00A76DE5">
        <w:rPr>
          <w:rFonts w:ascii="Garamond" w:hAnsi="Garamond"/>
          <w:i/>
          <w:iCs/>
        </w:rPr>
        <w:t>1-5, inclusive</w:t>
      </w:r>
      <w:r>
        <w:rPr>
          <w:rFonts w:ascii="Garamond" w:hAnsi="Garamond"/>
        </w:rPr>
        <w:t>)</w:t>
      </w:r>
    </w:p>
    <w:p w14:paraId="1F1CABDA" w14:textId="77777777" w:rsidR="00A76DE5" w:rsidRDefault="00A76DE5" w:rsidP="009A072A">
      <w:pPr>
        <w:rPr>
          <w:rFonts w:ascii="Garamond" w:hAnsi="Garamond"/>
        </w:rPr>
      </w:pPr>
    </w:p>
    <w:p w14:paraId="64795418" w14:textId="47265913" w:rsidR="00A76DE5" w:rsidRDefault="00A76DE5" w:rsidP="009A072A">
      <w:pPr>
        <w:rPr>
          <w:rFonts w:ascii="Garamond" w:hAnsi="Garamond"/>
        </w:rPr>
      </w:pPr>
      <w:r w:rsidRPr="00A76DE5">
        <w:rPr>
          <w:rFonts w:ascii="Garamond" w:hAnsi="Garamond"/>
          <w:u w:val="single"/>
        </w:rPr>
        <w:t xml:space="preserve">Edit </w:t>
      </w:r>
      <w:r>
        <w:rPr>
          <w:rFonts w:ascii="Garamond" w:hAnsi="Garamond"/>
        </w:rPr>
        <w:t xml:space="preserve">10.3 to read: </w:t>
      </w:r>
    </w:p>
    <w:p w14:paraId="5778DCF0" w14:textId="77777777" w:rsidR="00A76DE5" w:rsidRDefault="00A76DE5" w:rsidP="009A072A">
      <w:pPr>
        <w:rPr>
          <w:rFonts w:ascii="Garamond" w:hAnsi="Garamond"/>
        </w:rPr>
      </w:pPr>
    </w:p>
    <w:p w14:paraId="093492C0" w14:textId="051D3BB3" w:rsidR="00E636DA" w:rsidRPr="00E636DA" w:rsidRDefault="00E636DA" w:rsidP="009A072A">
      <w:pPr>
        <w:rPr>
          <w:rFonts w:ascii="Garamond" w:hAnsi="Garamond"/>
          <w:b/>
          <w:bCs/>
        </w:rPr>
      </w:pPr>
      <w:r w:rsidRPr="00E636DA">
        <w:rPr>
          <w:rFonts w:ascii="Garamond" w:hAnsi="Garamond"/>
          <w:b/>
          <w:bCs/>
        </w:rPr>
        <w:t>Article 10 – Special Use Provisions</w:t>
      </w:r>
    </w:p>
    <w:p w14:paraId="472646F5" w14:textId="0BAD0F67" w:rsidR="00A76DE5" w:rsidRDefault="00A76DE5" w:rsidP="009A072A">
      <w:pPr>
        <w:rPr>
          <w:rFonts w:ascii="Garamond" w:hAnsi="Garamond"/>
        </w:rPr>
      </w:pPr>
      <w:proofErr w:type="gramStart"/>
      <w:r>
        <w:rPr>
          <w:rFonts w:ascii="Garamond" w:hAnsi="Garamond"/>
        </w:rPr>
        <w:t xml:space="preserve">10.3 </w:t>
      </w:r>
      <w:r w:rsidR="00E636DA">
        <w:rPr>
          <w:rFonts w:ascii="Garamond" w:hAnsi="Garamond"/>
        </w:rPr>
        <w:t xml:space="preserve"> </w:t>
      </w:r>
      <w:r>
        <w:rPr>
          <w:rFonts w:ascii="Garamond" w:hAnsi="Garamond"/>
        </w:rPr>
        <w:t>Mixed</w:t>
      </w:r>
      <w:proofErr w:type="gramEnd"/>
      <w:r>
        <w:rPr>
          <w:rFonts w:ascii="Garamond" w:hAnsi="Garamond"/>
        </w:rPr>
        <w:t xml:space="preserve">-Uses </w:t>
      </w:r>
    </w:p>
    <w:p w14:paraId="5231634E" w14:textId="175F74C6" w:rsidR="00BD477A" w:rsidRDefault="00A76DE5" w:rsidP="009A072A">
      <w:pPr>
        <w:rPr>
          <w:rFonts w:ascii="Garamond" w:hAnsi="Garamond"/>
        </w:rPr>
      </w:pPr>
      <w:r>
        <w:rPr>
          <w:rFonts w:ascii="Garamond" w:hAnsi="Garamond"/>
        </w:rPr>
        <w:t xml:space="preserve">a. </w:t>
      </w:r>
      <w:r w:rsidRPr="00BD477A">
        <w:rPr>
          <w:rFonts w:ascii="Garamond" w:hAnsi="Garamond"/>
          <w:b/>
          <w:bCs/>
        </w:rPr>
        <w:t>Intent &amp; Purpose</w:t>
      </w:r>
    </w:p>
    <w:p w14:paraId="739FD5D3" w14:textId="1B060D1A" w:rsidR="00A76DE5" w:rsidRDefault="00BD477A" w:rsidP="009A072A">
      <w:pPr>
        <w:rPr>
          <w:rFonts w:ascii="Garamond" w:hAnsi="Garamond"/>
        </w:rPr>
      </w:pPr>
      <w:r>
        <w:rPr>
          <w:rFonts w:ascii="Garamond" w:hAnsi="Garamond"/>
        </w:rPr>
        <w:lastRenderedPageBreak/>
        <w:t xml:space="preserve">The purpose of this regulation is to allow for mixed uses such as allowing for dwelling unit(s) within a commercially used building in the commercial zone (General Business (GB)) of Cornwall. This allows more options for housing and commercial opportunities.  </w:t>
      </w:r>
    </w:p>
    <w:p w14:paraId="72ED11CD" w14:textId="51854F3D" w:rsidR="00BD477A" w:rsidRDefault="00BD477A" w:rsidP="009A072A">
      <w:pPr>
        <w:rPr>
          <w:rFonts w:ascii="Garamond" w:hAnsi="Garamond"/>
          <w:b/>
          <w:bCs/>
        </w:rPr>
      </w:pPr>
      <w:r>
        <w:rPr>
          <w:rFonts w:ascii="Garamond" w:hAnsi="Garamond"/>
        </w:rPr>
        <w:t xml:space="preserve">b. </w:t>
      </w:r>
      <w:r w:rsidRPr="00BD477A">
        <w:rPr>
          <w:rFonts w:ascii="Garamond" w:hAnsi="Garamond"/>
          <w:b/>
          <w:bCs/>
        </w:rPr>
        <w:t>Special Use Standards</w:t>
      </w:r>
    </w:p>
    <w:p w14:paraId="58B3E17C" w14:textId="2A896AA5" w:rsidR="009A3C56" w:rsidRDefault="009A3C56" w:rsidP="009A072A">
      <w:pPr>
        <w:rPr>
          <w:rFonts w:ascii="Garamond" w:hAnsi="Garamond"/>
        </w:rPr>
      </w:pPr>
      <w:r>
        <w:rPr>
          <w:rFonts w:ascii="Garamond" w:hAnsi="Garamond"/>
        </w:rPr>
        <w:t xml:space="preserve">In the General Business (GB) Zone, residential use in a </w:t>
      </w:r>
      <w:r w:rsidR="00FF782C">
        <w:rPr>
          <w:rFonts w:ascii="Garamond" w:hAnsi="Garamond"/>
        </w:rPr>
        <w:t>commercially used</w:t>
      </w:r>
      <w:r>
        <w:rPr>
          <w:rFonts w:ascii="Garamond" w:hAnsi="Garamond"/>
        </w:rPr>
        <w:t xml:space="preserve"> building may be permitted by the Commission subject to the approval of a Special Permit (in accordance with </w:t>
      </w:r>
      <w:r w:rsidRPr="009A3C56">
        <w:rPr>
          <w:rFonts w:ascii="Garamond" w:hAnsi="Garamond"/>
          <w:b/>
          <w:bCs/>
        </w:rPr>
        <w:t>Section 8</w:t>
      </w:r>
      <w:r>
        <w:rPr>
          <w:rFonts w:ascii="Garamond" w:hAnsi="Garamond"/>
        </w:rPr>
        <w:t xml:space="preserve">), and by satisfying </w:t>
      </w:r>
      <w:proofErr w:type="gramStart"/>
      <w:r>
        <w:rPr>
          <w:rFonts w:ascii="Garamond" w:hAnsi="Garamond"/>
        </w:rPr>
        <w:t>all of</w:t>
      </w:r>
      <w:proofErr w:type="gramEnd"/>
      <w:r>
        <w:rPr>
          <w:rFonts w:ascii="Garamond" w:hAnsi="Garamond"/>
        </w:rPr>
        <w:t xml:space="preserve"> the following requirements: </w:t>
      </w:r>
    </w:p>
    <w:p w14:paraId="6640F641" w14:textId="05023EDB" w:rsidR="009A3C56" w:rsidRDefault="009A3C56" w:rsidP="009A3C56">
      <w:pPr>
        <w:pStyle w:val="ListParagraph"/>
        <w:numPr>
          <w:ilvl w:val="0"/>
          <w:numId w:val="2"/>
        </w:numPr>
        <w:rPr>
          <w:rFonts w:ascii="Garamond" w:hAnsi="Garamond"/>
        </w:rPr>
      </w:pPr>
      <w:r>
        <w:rPr>
          <w:rFonts w:ascii="Garamond" w:hAnsi="Garamond"/>
        </w:rPr>
        <w:t xml:space="preserve">The combined use of the property shall be considered when determining the required parking.  Each dwelling unit shall have two (2) spaces and each commercial use shall provide parking in accordance with </w:t>
      </w:r>
      <w:r w:rsidRPr="009A3C56">
        <w:rPr>
          <w:rFonts w:ascii="Garamond" w:hAnsi="Garamond"/>
          <w:b/>
          <w:bCs/>
        </w:rPr>
        <w:t>Article 11</w:t>
      </w:r>
      <w:r>
        <w:rPr>
          <w:rFonts w:ascii="Garamond" w:hAnsi="Garamond"/>
        </w:rPr>
        <w:t xml:space="preserve">.  </w:t>
      </w:r>
    </w:p>
    <w:p w14:paraId="48412387" w14:textId="18A08D4A" w:rsidR="009A3C56" w:rsidRDefault="009A3C56" w:rsidP="009A3C56">
      <w:pPr>
        <w:pStyle w:val="ListParagraph"/>
        <w:numPr>
          <w:ilvl w:val="0"/>
          <w:numId w:val="2"/>
        </w:numPr>
        <w:rPr>
          <w:rFonts w:ascii="Garamond" w:hAnsi="Garamond"/>
        </w:rPr>
      </w:pPr>
      <w:r>
        <w:rPr>
          <w:rFonts w:ascii="Garamond" w:hAnsi="Garamond"/>
        </w:rPr>
        <w:t xml:space="preserve">A </w:t>
      </w:r>
      <w:r w:rsidR="00FD3F83">
        <w:rPr>
          <w:rFonts w:ascii="Garamond" w:hAnsi="Garamond"/>
        </w:rPr>
        <w:t>mixed-use</w:t>
      </w:r>
      <w:r>
        <w:rPr>
          <w:rFonts w:ascii="Garamond" w:hAnsi="Garamond"/>
        </w:rPr>
        <w:t xml:space="preserve"> proposal shall meet the approval criteria of Article 8, satisfy the General Requirements (Article 5) as well as comply with other regulatory authorities, including but not limited to, the Inland Wetlands &amp; Conservation Commission, The Building Official, Fire Marshal, Torrington Area Health Department, and other regulatory agencies (as applicable).  </w:t>
      </w:r>
    </w:p>
    <w:p w14:paraId="21B1B5C8" w14:textId="77777777" w:rsidR="009A3C56" w:rsidRDefault="009A3C56" w:rsidP="009A3C56">
      <w:pPr>
        <w:rPr>
          <w:rFonts w:ascii="Garamond" w:hAnsi="Garamond"/>
        </w:rPr>
      </w:pPr>
    </w:p>
    <w:p w14:paraId="6266AF56" w14:textId="592929DA" w:rsidR="009A3C56" w:rsidRDefault="009A3C56" w:rsidP="009A3C56">
      <w:pPr>
        <w:rPr>
          <w:rFonts w:ascii="Garamond" w:hAnsi="Garamond"/>
        </w:rPr>
      </w:pPr>
      <w:r>
        <w:rPr>
          <w:rFonts w:ascii="Garamond" w:hAnsi="Garamond"/>
        </w:rPr>
        <w:t>10.13 shall be entitled “</w:t>
      </w:r>
      <w:proofErr w:type="gramStart"/>
      <w:r w:rsidRPr="009A3C56">
        <w:rPr>
          <w:rFonts w:ascii="Garamond" w:hAnsi="Garamond"/>
          <w:b/>
          <w:bCs/>
        </w:rPr>
        <w:t>Multi-family</w:t>
      </w:r>
      <w:proofErr w:type="gramEnd"/>
      <w:r w:rsidRPr="009A3C56">
        <w:rPr>
          <w:rFonts w:ascii="Garamond" w:hAnsi="Garamond"/>
          <w:b/>
          <w:bCs/>
        </w:rPr>
        <w:t xml:space="preserve"> Housing</w:t>
      </w:r>
      <w:r>
        <w:rPr>
          <w:rFonts w:ascii="Garamond" w:hAnsi="Garamond"/>
        </w:rPr>
        <w:t>”</w:t>
      </w:r>
    </w:p>
    <w:p w14:paraId="36E8F895" w14:textId="1FF0B100" w:rsidR="009A3C56" w:rsidRPr="009A3C56" w:rsidRDefault="009A3C56" w:rsidP="009A3C56">
      <w:pPr>
        <w:rPr>
          <w:rFonts w:ascii="Garamond" w:hAnsi="Garamond"/>
        </w:rPr>
      </w:pPr>
      <w:r>
        <w:rPr>
          <w:rFonts w:ascii="Garamond" w:hAnsi="Garamond"/>
        </w:rPr>
        <w:t xml:space="preserve">Requirement 1. Specifying the applicant as the Town or the Community Development Housing Corporation shall be </w:t>
      </w:r>
      <w:proofErr w:type="gramStart"/>
      <w:r>
        <w:rPr>
          <w:rFonts w:ascii="Garamond" w:hAnsi="Garamond"/>
        </w:rPr>
        <w:t>removed</w:t>
      </w:r>
      <w:proofErr w:type="gramEnd"/>
      <w:r>
        <w:rPr>
          <w:rFonts w:ascii="Garamond" w:hAnsi="Garamond"/>
        </w:rPr>
        <w:t xml:space="preserve"> and all other requirements of the section will remain and be renumbered.  </w:t>
      </w:r>
    </w:p>
    <w:sectPr w:rsidR="009A3C56" w:rsidRPr="009A3C56" w:rsidSect="0091160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C8D1C" w14:textId="77777777" w:rsidR="00911608" w:rsidRDefault="00911608" w:rsidP="001C26AD">
      <w:r>
        <w:separator/>
      </w:r>
    </w:p>
  </w:endnote>
  <w:endnote w:type="continuationSeparator" w:id="0">
    <w:p w14:paraId="543A138C" w14:textId="77777777" w:rsidR="00911608" w:rsidRDefault="00911608" w:rsidP="001C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4241133"/>
      <w:docPartObj>
        <w:docPartGallery w:val="Page Numbers (Bottom of Page)"/>
        <w:docPartUnique/>
      </w:docPartObj>
    </w:sdtPr>
    <w:sdtContent>
      <w:p w14:paraId="36945385" w14:textId="1DC3738F" w:rsidR="001C26AD" w:rsidRDefault="001C26AD" w:rsidP="008437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4F203B" w14:textId="77777777" w:rsidR="001C26AD" w:rsidRDefault="001C26AD" w:rsidP="001C26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3685792"/>
      <w:docPartObj>
        <w:docPartGallery w:val="Page Numbers (Bottom of Page)"/>
        <w:docPartUnique/>
      </w:docPartObj>
    </w:sdtPr>
    <w:sdtContent>
      <w:p w14:paraId="59409A6A" w14:textId="1AFDF598" w:rsidR="001C26AD" w:rsidRDefault="001C26AD" w:rsidP="008437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8B8A2C" w14:textId="77777777" w:rsidR="001C26AD" w:rsidRDefault="001C26AD" w:rsidP="001C26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F2F20" w14:textId="77777777" w:rsidR="00911608" w:rsidRDefault="00911608" w:rsidP="001C26AD">
      <w:r>
        <w:separator/>
      </w:r>
    </w:p>
  </w:footnote>
  <w:footnote w:type="continuationSeparator" w:id="0">
    <w:p w14:paraId="27A8FF6C" w14:textId="77777777" w:rsidR="00911608" w:rsidRDefault="00911608" w:rsidP="001C2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02D54"/>
    <w:multiLevelType w:val="hybridMultilevel"/>
    <w:tmpl w:val="FACAB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C303B4"/>
    <w:multiLevelType w:val="hybridMultilevel"/>
    <w:tmpl w:val="21F65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5123465">
    <w:abstractNumId w:val="1"/>
  </w:num>
  <w:num w:numId="2" w16cid:durableId="233322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72A"/>
    <w:rsid w:val="000D54C1"/>
    <w:rsid w:val="001C26AD"/>
    <w:rsid w:val="00386343"/>
    <w:rsid w:val="005A4BAA"/>
    <w:rsid w:val="005E5EA4"/>
    <w:rsid w:val="00786435"/>
    <w:rsid w:val="00911608"/>
    <w:rsid w:val="009A072A"/>
    <w:rsid w:val="009A3C56"/>
    <w:rsid w:val="00A76DE5"/>
    <w:rsid w:val="00B72CEA"/>
    <w:rsid w:val="00BD477A"/>
    <w:rsid w:val="00D503C8"/>
    <w:rsid w:val="00E636DA"/>
    <w:rsid w:val="00FD3F83"/>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563ABB"/>
  <w15:chartTrackingRefBased/>
  <w15:docId w15:val="{17DE56D4-A8ED-EF44-A495-7CFA8EA9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72A"/>
    <w:pPr>
      <w:spacing w:after="0" w:line="240" w:lineRule="auto"/>
    </w:pPr>
  </w:style>
  <w:style w:type="paragraph" w:styleId="Heading1">
    <w:name w:val="heading 1"/>
    <w:basedOn w:val="Normal"/>
    <w:next w:val="Normal"/>
    <w:link w:val="Heading1Char"/>
    <w:uiPriority w:val="9"/>
    <w:qFormat/>
    <w:rsid w:val="009A07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A07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A072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A072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A072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A072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A072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A072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A072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72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A072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A072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A072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A072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A072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A072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A072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A072A"/>
    <w:rPr>
      <w:rFonts w:eastAsiaTheme="majorEastAsia" w:cstheme="majorBidi"/>
      <w:color w:val="272727" w:themeColor="text1" w:themeTint="D8"/>
    </w:rPr>
  </w:style>
  <w:style w:type="paragraph" w:styleId="Title">
    <w:name w:val="Title"/>
    <w:basedOn w:val="Normal"/>
    <w:next w:val="Normal"/>
    <w:link w:val="TitleChar"/>
    <w:uiPriority w:val="10"/>
    <w:qFormat/>
    <w:rsid w:val="009A072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07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072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A072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A072A"/>
    <w:pPr>
      <w:spacing w:before="160"/>
      <w:jc w:val="center"/>
    </w:pPr>
    <w:rPr>
      <w:i/>
      <w:iCs/>
      <w:color w:val="404040" w:themeColor="text1" w:themeTint="BF"/>
    </w:rPr>
  </w:style>
  <w:style w:type="character" w:customStyle="1" w:styleId="QuoteChar">
    <w:name w:val="Quote Char"/>
    <w:basedOn w:val="DefaultParagraphFont"/>
    <w:link w:val="Quote"/>
    <w:uiPriority w:val="29"/>
    <w:rsid w:val="009A072A"/>
    <w:rPr>
      <w:i/>
      <w:iCs/>
      <w:color w:val="404040" w:themeColor="text1" w:themeTint="BF"/>
    </w:rPr>
  </w:style>
  <w:style w:type="paragraph" w:styleId="ListParagraph">
    <w:name w:val="List Paragraph"/>
    <w:basedOn w:val="Normal"/>
    <w:uiPriority w:val="34"/>
    <w:qFormat/>
    <w:rsid w:val="009A072A"/>
    <w:pPr>
      <w:ind w:left="720"/>
      <w:contextualSpacing/>
    </w:pPr>
  </w:style>
  <w:style w:type="character" w:styleId="IntenseEmphasis">
    <w:name w:val="Intense Emphasis"/>
    <w:basedOn w:val="DefaultParagraphFont"/>
    <w:uiPriority w:val="21"/>
    <w:qFormat/>
    <w:rsid w:val="009A072A"/>
    <w:rPr>
      <w:i/>
      <w:iCs/>
      <w:color w:val="0F4761" w:themeColor="accent1" w:themeShade="BF"/>
    </w:rPr>
  </w:style>
  <w:style w:type="paragraph" w:styleId="IntenseQuote">
    <w:name w:val="Intense Quote"/>
    <w:basedOn w:val="Normal"/>
    <w:next w:val="Normal"/>
    <w:link w:val="IntenseQuoteChar"/>
    <w:uiPriority w:val="30"/>
    <w:qFormat/>
    <w:rsid w:val="009A07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A072A"/>
    <w:rPr>
      <w:i/>
      <w:iCs/>
      <w:color w:val="0F4761" w:themeColor="accent1" w:themeShade="BF"/>
    </w:rPr>
  </w:style>
  <w:style w:type="character" w:styleId="IntenseReference">
    <w:name w:val="Intense Reference"/>
    <w:basedOn w:val="DefaultParagraphFont"/>
    <w:uiPriority w:val="32"/>
    <w:qFormat/>
    <w:rsid w:val="009A072A"/>
    <w:rPr>
      <w:b/>
      <w:bCs/>
      <w:smallCaps/>
      <w:color w:val="0F4761" w:themeColor="accent1" w:themeShade="BF"/>
      <w:spacing w:val="5"/>
    </w:rPr>
  </w:style>
  <w:style w:type="paragraph" w:styleId="Footer">
    <w:name w:val="footer"/>
    <w:basedOn w:val="Normal"/>
    <w:link w:val="FooterChar"/>
    <w:uiPriority w:val="99"/>
    <w:unhideWhenUsed/>
    <w:rsid w:val="001C26AD"/>
    <w:pPr>
      <w:tabs>
        <w:tab w:val="center" w:pos="4680"/>
        <w:tab w:val="right" w:pos="9360"/>
      </w:tabs>
    </w:pPr>
  </w:style>
  <w:style w:type="character" w:customStyle="1" w:styleId="FooterChar">
    <w:name w:val="Footer Char"/>
    <w:basedOn w:val="DefaultParagraphFont"/>
    <w:link w:val="Footer"/>
    <w:uiPriority w:val="99"/>
    <w:rsid w:val="001C26AD"/>
  </w:style>
  <w:style w:type="character" w:styleId="PageNumber">
    <w:name w:val="page number"/>
    <w:basedOn w:val="DefaultParagraphFont"/>
    <w:uiPriority w:val="99"/>
    <w:semiHidden/>
    <w:unhideWhenUsed/>
    <w:rsid w:val="001C2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Officer</dc:creator>
  <cp:keywords/>
  <dc:description/>
  <cp:lastModifiedBy>Land Use Officer</cp:lastModifiedBy>
  <cp:revision>3</cp:revision>
  <cp:lastPrinted>2024-03-26T11:42:00Z</cp:lastPrinted>
  <dcterms:created xsi:type="dcterms:W3CDTF">2024-04-10T11:45:00Z</dcterms:created>
  <dcterms:modified xsi:type="dcterms:W3CDTF">2024-04-10T11:59:00Z</dcterms:modified>
</cp:coreProperties>
</file>